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河道水质异常调查材料</w:t>
      </w:r>
    </w:p>
    <w:p>
      <w:r>
        <w:t>青溪河雨后巡查记录出现了变化。请找出值得追查的现象，比较至少两种解释，并提出能区分这些解释的补测计划。与同伴讨论后，各自写出判断、证据和仍不确定的部分。</w:t>
      </w:r>
    </w:p>
    <w:p>
      <w:r>
        <w:t>河流、地点、读数和现场记录均为教学虚构。这里的“异常”指相对既有记录的变化，不表示已经判定超标，也没有预设污染来源或责任方。</w:t>
      </w:r>
    </w:p>
    <w:p>
      <w:pPr>
        <w:pStyle w:val="Heading1"/>
      </w:pPr>
      <w:r>
        <w:t>材料 A 河段位置</w:t>
      </w:r>
    </w:p>
    <w:p>
      <w:r>
        <w:t>水流方向：U 上游点 → 400 m → R 排水沟汇入口 → 100 m → M 汇入口下游点 → 600 m → D 公园河段。距离为沿河示意距离。</w:t>
      </w:r>
    </w:p>
    <w:p>
      <w:r>
        <w:t>R 汇集居民区和道路施工区的地表排水，沟内来水组成未检测。U、M、D 均在同一条干流；本次没有 R 的水样，也没有流量、流速或水体传播时间记录。</w:t>
      </w:r>
    </w:p>
    <w:p>
      <w:pPr>
        <w:pStyle w:val="Heading1"/>
      </w:pPr>
      <w:r>
        <w:t>材料 B 两次巡查读数</w:t>
      </w:r>
    </w:p>
    <w:p>
      <w:r>
        <w:t>干天记录为雨后巡查的三天前。各行是一次现场读数，不是同一时刻的多点对照，也不代表同一团水。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247"/>
        <w:gridCol w:w="850"/>
        <w:gridCol w:w="1361"/>
        <w:gridCol w:w="1701"/>
        <w:gridCol w:w="2154"/>
        <w:gridCol w:w="2319"/>
      </w:tblGrid>
      <w:tr>
        <w:tc>
          <w:tcPr>
            <w:tcW w:type="dxa" w:w="1247"/>
            <w:vAlign w:val="center"/>
            <w:shd w:fill="234A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巡查</w:t>
            </w:r>
          </w:p>
        </w:tc>
        <w:tc>
          <w:tcPr>
            <w:tcW w:type="dxa" w:w="850"/>
            <w:vAlign w:val="center"/>
            <w:shd w:fill="234A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点位</w:t>
            </w:r>
          </w:p>
        </w:tc>
        <w:tc>
          <w:tcPr>
            <w:tcW w:type="dxa" w:w="1361"/>
            <w:vAlign w:val="center"/>
            <w:shd w:fill="234A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时间</w:t>
            </w:r>
          </w:p>
        </w:tc>
        <w:tc>
          <w:tcPr>
            <w:tcW w:type="dxa" w:w="1701"/>
            <w:vAlign w:val="center"/>
            <w:shd w:fill="234A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水温 °C</w:t>
            </w:r>
          </w:p>
        </w:tc>
        <w:tc>
          <w:tcPr>
            <w:tcW w:type="dxa" w:w="2154"/>
            <w:vAlign w:val="center"/>
            <w:shd w:fill="234A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DO mg/L</w:t>
            </w:r>
          </w:p>
        </w:tc>
        <w:tc>
          <w:tcPr>
            <w:tcW w:type="dxa" w:w="2319"/>
            <w:vAlign w:val="center"/>
            <w:shd w:fill="234A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浊度 NTU</w:t>
            </w:r>
          </w:p>
        </w:tc>
      </w:tr>
      <w:tr>
        <w:tc>
          <w:tcPr>
            <w:tcW w:type="dxa" w:w="1247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干天</w:t>
            </w:r>
          </w:p>
        </w:tc>
        <w:tc>
          <w:tcPr>
            <w:tcW w:type="dxa" w:w="850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U</w:t>
            </w:r>
          </w:p>
        </w:tc>
        <w:tc>
          <w:tcPr>
            <w:tcW w:type="dxa" w:w="1361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08:00</w:t>
            </w:r>
          </w:p>
        </w:tc>
        <w:tc>
          <w:tcPr>
            <w:tcW w:type="dxa" w:w="1701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20.0</w:t>
            </w:r>
          </w:p>
        </w:tc>
        <w:tc>
          <w:tcPr>
            <w:tcW w:type="dxa" w:w="2154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7.6</w:t>
            </w:r>
          </w:p>
        </w:tc>
        <w:tc>
          <w:tcPr>
            <w:tcW w:type="dxa" w:w="2319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8</w:t>
            </w:r>
          </w:p>
        </w:tc>
      </w:tr>
      <w:tr>
        <w:tc>
          <w:tcPr>
            <w:tcW w:type="dxa" w:w="1247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干天</w:t>
            </w:r>
          </w:p>
        </w:tc>
        <w:tc>
          <w:tcPr>
            <w:tcW w:type="dxa" w:w="85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M</w:t>
            </w:r>
          </w:p>
        </w:tc>
        <w:tc>
          <w:tcPr>
            <w:tcW w:type="dxa" w:w="136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08:20</w:t>
            </w:r>
          </w:p>
        </w:tc>
        <w:tc>
          <w:tcPr>
            <w:tcW w:type="dxa" w:w="170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20.5</w:t>
            </w:r>
          </w:p>
        </w:tc>
        <w:tc>
          <w:tcPr>
            <w:tcW w:type="dxa" w:w="215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7.3</w:t>
            </w:r>
          </w:p>
        </w:tc>
        <w:tc>
          <w:tcPr>
            <w:tcW w:type="dxa" w:w="231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10</w:t>
            </w:r>
          </w:p>
        </w:tc>
      </w:tr>
      <w:tr>
        <w:tc>
          <w:tcPr>
            <w:tcW w:type="dxa" w:w="1247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干天</w:t>
            </w:r>
          </w:p>
        </w:tc>
        <w:tc>
          <w:tcPr>
            <w:tcW w:type="dxa" w:w="850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D</w:t>
            </w:r>
          </w:p>
        </w:tc>
        <w:tc>
          <w:tcPr>
            <w:tcW w:type="dxa" w:w="1361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08:40</w:t>
            </w:r>
          </w:p>
        </w:tc>
        <w:tc>
          <w:tcPr>
            <w:tcW w:type="dxa" w:w="1701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21.0</w:t>
            </w:r>
          </w:p>
        </w:tc>
        <w:tc>
          <w:tcPr>
            <w:tcW w:type="dxa" w:w="2154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7.2</w:t>
            </w:r>
          </w:p>
        </w:tc>
        <w:tc>
          <w:tcPr>
            <w:tcW w:type="dxa" w:w="2319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12</w:t>
            </w:r>
          </w:p>
        </w:tc>
      </w:tr>
      <w:tr>
        <w:tc>
          <w:tcPr>
            <w:tcW w:type="dxa" w:w="1247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雨后</w:t>
            </w:r>
          </w:p>
        </w:tc>
        <w:tc>
          <w:tcPr>
            <w:tcW w:type="dxa" w:w="85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U</w:t>
            </w:r>
          </w:p>
        </w:tc>
        <w:tc>
          <w:tcPr>
            <w:tcW w:type="dxa" w:w="136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07:50</w:t>
            </w:r>
          </w:p>
        </w:tc>
        <w:tc>
          <w:tcPr>
            <w:tcW w:type="dxa" w:w="170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21.0</w:t>
            </w:r>
          </w:p>
        </w:tc>
        <w:tc>
          <w:tcPr>
            <w:tcW w:type="dxa" w:w="215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7.4</w:t>
            </w:r>
          </w:p>
        </w:tc>
        <w:tc>
          <w:tcPr>
            <w:tcW w:type="dxa" w:w="231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18</w:t>
            </w:r>
          </w:p>
        </w:tc>
      </w:tr>
      <w:tr>
        <w:tc>
          <w:tcPr>
            <w:tcW w:type="dxa" w:w="1247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雨后</w:t>
            </w:r>
          </w:p>
        </w:tc>
        <w:tc>
          <w:tcPr>
            <w:tcW w:type="dxa" w:w="850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M</w:t>
            </w:r>
          </w:p>
        </w:tc>
        <w:tc>
          <w:tcPr>
            <w:tcW w:type="dxa" w:w="1361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09:10</w:t>
            </w:r>
          </w:p>
        </w:tc>
        <w:tc>
          <w:tcPr>
            <w:tcW w:type="dxa" w:w="1701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22.0</w:t>
            </w:r>
          </w:p>
        </w:tc>
        <w:tc>
          <w:tcPr>
            <w:tcW w:type="dxa" w:w="2154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5.2</w:t>
            </w:r>
          </w:p>
        </w:tc>
        <w:tc>
          <w:tcPr>
            <w:tcW w:type="dxa" w:w="2319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64</w:t>
            </w:r>
          </w:p>
        </w:tc>
      </w:tr>
      <w:tr>
        <w:tc>
          <w:tcPr>
            <w:tcW w:type="dxa" w:w="1247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雨后</w:t>
            </w:r>
          </w:p>
        </w:tc>
        <w:tc>
          <w:tcPr>
            <w:tcW w:type="dxa" w:w="85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D</w:t>
            </w:r>
          </w:p>
        </w:tc>
        <w:tc>
          <w:tcPr>
            <w:tcW w:type="dxa" w:w="136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10:20</w:t>
            </w:r>
          </w:p>
        </w:tc>
        <w:tc>
          <w:tcPr>
            <w:tcW w:type="dxa" w:w="170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24.0</w:t>
            </w:r>
          </w:p>
        </w:tc>
        <w:tc>
          <w:tcPr>
            <w:tcW w:type="dxa" w:w="215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4.8</w:t>
            </w:r>
          </w:p>
        </w:tc>
        <w:tc>
          <w:tcPr>
            <w:tcW w:type="dxa" w:w="231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color w:val="000000"/>
                <w:sz w:val="20"/>
              </w:rPr>
              <w:t>58</w:t>
            </w:r>
          </w:p>
        </w:tc>
      </w:tr>
    </w:tbl>
    <w:p>
      <w:pPr>
        <w:pStyle w:val="Heading1"/>
      </w:pPr>
      <w:r>
        <w:t>指标提示</w:t>
      </w:r>
    </w:p>
    <w:p>
      <w:r>
        <w:t>DO 是水中的溶解氧浓度，受水温、生物活动和水气交换等因素影响。浊度反映水的光学浑浊程度，泥沙和其他物质都可能影响读数；它本身不能识别具体污染物或来源。</w:t>
      </w:r>
    </w:p>
    <w:p>
      <w:r>
        <w:br w:type="page"/>
      </w:r>
    </w:p>
    <w:p>
      <w:pPr>
        <w:pStyle w:val="Title"/>
      </w:pPr>
      <w:r>
        <w:t>现场记录与讨论任务</w:t>
      </w:r>
    </w:p>
    <w:p>
      <w:pPr>
        <w:pStyle w:val="Heading1"/>
      </w:pPr>
      <w:r>
        <w:t>材料 C 同一场巡查的补充记录</w:t>
      </w:r>
    </w:p>
    <w:p>
      <w:r>
        <w:t>C1 天气：当天 06:00—07:00 降雨 14 mm，随后转晴。无逐时水温与流量的连续记录。</w:t>
      </w:r>
    </w:p>
    <w:p>
      <w:r>
        <w:t>C2 现场：08:50 在 R 看到褐色来水，附近道路有裸露土面。来水成分未检测，居民区排水设施运行情况未知。</w:t>
      </w:r>
    </w:p>
    <w:p>
      <w:r>
        <w:t>C3 仪器：雨后 U、M 使用仪器 A，出发前核查记录完整；D 使用仪器 B，当天 DO 校准核查栏空白，原因未知。空白不等于读数错误。干天核查记录完整。</w:t>
      </w:r>
    </w:p>
    <w:p>
      <w:r>
        <w:t>C4 采集：每点只测一次，无重复测量；两次巡查均无 R 样本和其他水质指标检测。</w:t>
      </w:r>
    </w:p>
    <w:p>
      <w:pPr>
        <w:pStyle w:val="Heading1"/>
      </w:pPr>
      <w:r>
        <w:t>讨论节点</w:t>
      </w:r>
    </w:p>
    <w:p>
      <w:r>
        <w:t>节点一：哪些变化值得追查？对照点位、时间和现场记录，至少提出两种解释，分别找出支持证据和证据缺口。</w:t>
      </w:r>
    </w:p>
    <w:p>
      <w:r>
        <w:t>节点二：下一轮可选两个时段，每时段最多三个点，每点复测两次。怎样选点、安排时间和核查仪器？补测什么指标？说明计划能区分哪些解释，什么结果会使你改变判断。</w:t>
      </w:r>
    </w:p>
    <w:p>
      <w:pPr>
        <w:pStyle w:val="Heading1"/>
      </w:pPr>
      <w:r>
        <w:t>学生与 AI 怎样同时推进</w:t>
      </w:r>
    </w:p>
    <w:p>
      <w:r>
        <w:t>让 AI 读任务和材料时，学生同步阅读、标注并交流。AI 可以整理数据、检查读数、解释概念，再提出一到两个短问题。学生先比较自己的线索，收到问题后一起讨论。</w:t>
      </w:r>
    </w:p>
    <w:p>
      <w:r>
        <w:t>讨论后各自回答，写清证据和不确定性。可以把署名回答一起交给 AI，请它指出一个分歧、提出一个追问；大家同时继续核对记录、设计补测。</w:t>
      </w:r>
    </w:p>
    <w:p>
      <w:pPr>
        <w:pStyle w:val="Heading1"/>
      </w:pPr>
      <w:r>
        <w:t>各自留下回答</w:t>
      </w:r>
    </w:p>
    <w:p>
      <w:r>
        <w:t>课堂 60 分钟，每 3—4 人讨论，不计分。每人保留两个节点的回答和一条修正或仍保留的判断，可以得出不同解释与计划。</w:t>
      </w:r>
    </w:p>
    <w:p>
      <w:r>
        <w:t>每人在自己的成果中保存、复核并提交约 200—300 字的个人调查判断，可附图表；截止时间见任务说明。无需统一结论或提交私人聊天记录。</w:t>
      </w:r>
    </w:p>
    <w:p>
      <w:r>
        <w:t>概念参考：USGS Dissolved Oxygen and Water；USGS National Field Manual 6.7 Turbidity。案例读数为教学设定。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6" w:lineRule="auto" w:before="0"/>
    </w:pPr>
    <w:rPr>
      <w:rFonts w:ascii="Arial Unicode MS" w:hAnsi="Arial Unicode MS" w:eastAsia="Arial Unicode MS" w:cs="Arial Unicode M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 w:line="276" w:lineRule="auto"/>
      <w:outlineLvl w:val="0"/>
    </w:pPr>
    <w:rPr>
      <w:rFonts w:ascii="Arial Unicode MS" w:hAnsi="Arial Unicode MS" w:eastAsia="Arial Unicode MS" w:cs="Arial Unicode M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76" w:lineRule="auto" w:before="0"/>
      <w:contextualSpacing/>
    </w:pPr>
    <w:rPr>
      <w:rFonts w:ascii="Arial Unicode MS" w:hAnsi="Arial Unicode MS" w:eastAsia="Arial Unicode MS" w:cs="Arial Unicode MS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河道水质异常调查材料</dc:title>
  <dc:subject>并行阅读 共同讨论 各自回答</dc:subject>
  <dc:creator>Edu Next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